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2952A8">
      <w:pPr>
        <w:spacing w:line="240" w:lineRule="exact"/>
        <w:ind w:left="173"/>
        <w:rPr>
          <w:b/>
        </w:rPr>
      </w:pPr>
      <w:r>
        <w:t>II CURSO DE SOPORTE VITAL AVANZADO HOSPITAL UNIVERSITARIO LA PAZ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2952A8">
        <w:rPr>
          <w:sz w:val="23"/>
          <w:szCs w:val="23"/>
        </w:rPr>
        <w:t>“</w:t>
      </w:r>
      <w:bookmarkStart w:id="0" w:name="_GoBack"/>
      <w:bookmarkEnd w:id="0"/>
      <w:r w:rsidR="002952A8">
        <w:rPr>
          <w:sz w:val="23"/>
          <w:szCs w:val="23"/>
        </w:rPr>
        <w:t>S</w:t>
      </w:r>
      <w:r w:rsidR="002952A8" w:rsidRPr="002952A8">
        <w:rPr>
          <w:sz w:val="23"/>
          <w:szCs w:val="23"/>
        </w:rPr>
        <w:t>OPORTE VITAL</w:t>
      </w:r>
      <w:r w:rsidR="00422B6C" w:rsidRPr="002952A8">
        <w:rPr>
          <w:sz w:val="23"/>
          <w:szCs w:val="23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2952A8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952A8"/>
    <w:rsid w:val="002E53B1"/>
    <w:rsid w:val="002E7E34"/>
    <w:rsid w:val="00422B6C"/>
    <w:rsid w:val="00875503"/>
    <w:rsid w:val="00A51488"/>
    <w:rsid w:val="00C51B81"/>
    <w:rsid w:val="00C6241C"/>
    <w:rsid w:val="00DB278B"/>
    <w:rsid w:val="00E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2023-05-26T09:46:00Z</cp:lastPrinted>
  <dcterms:created xsi:type="dcterms:W3CDTF">2023-10-19T13:11:00Z</dcterms:created>
  <dcterms:modified xsi:type="dcterms:W3CDTF">2023-10-19T13:11:00Z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